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F55" w:rsidRDefault="003A7F55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3A7F55" w:rsidRDefault="003A7F55">
      <w:pPr>
        <w:pStyle w:val="ConsPlusNormal"/>
        <w:jc w:val="center"/>
      </w:pPr>
      <w:r>
        <w:t>муниципальной программы "Безопасный город"</w:t>
      </w:r>
    </w:p>
    <w:p w:rsidR="003A7F55" w:rsidRDefault="003A7F55">
      <w:pPr>
        <w:pStyle w:val="ConsPlusNormal"/>
        <w:jc w:val="center"/>
      </w:pPr>
      <w:r>
        <w:t>(далее - Программа)</w:t>
      </w:r>
    </w:p>
    <w:p w:rsidR="003A7F55" w:rsidRDefault="003A7F55">
      <w:pPr>
        <w:pStyle w:val="ConsPlusNormal"/>
        <w:jc w:val="both"/>
      </w:pPr>
    </w:p>
    <w:tbl>
      <w:tblPr>
        <w:tblW w:w="1105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9186"/>
      </w:tblGrid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Управление по делам гражданской обороны и чрезвычайным ситуациям администрации города Комсомольска-на-Амуре (далее - Управление ГОЧС).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Соисполнители, участники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Соисполнители:</w:t>
            </w:r>
          </w:p>
          <w:p w:rsidR="003A7F55" w:rsidRDefault="003A7F55">
            <w:pPr>
              <w:pStyle w:val="ConsPlusNormal"/>
              <w:jc w:val="both"/>
            </w:pPr>
            <w:r>
              <w:t>- Администрация города Комсомольска-на-Амуре (далее - Администрация города);</w:t>
            </w:r>
          </w:p>
          <w:p w:rsidR="003A7F55" w:rsidRDefault="003A7F55">
            <w:pPr>
              <w:pStyle w:val="ConsPlusNormal"/>
              <w:jc w:val="both"/>
            </w:pPr>
            <w:r>
              <w:t>- Управление информатизации администрации города Комсомольска-на-Амуре (далее - Управление информатизации);</w:t>
            </w:r>
          </w:p>
          <w:p w:rsidR="003A7F55" w:rsidRDefault="003A7F55">
            <w:pPr>
              <w:pStyle w:val="ConsPlusNormal"/>
              <w:jc w:val="both"/>
            </w:pPr>
            <w:r>
              <w:t>- Управление образования администрации города Комсомольска-на-Амуре (далее - Управление образования);</w:t>
            </w:r>
          </w:p>
          <w:p w:rsidR="003A7F55" w:rsidRDefault="003A7F55">
            <w:pPr>
              <w:pStyle w:val="ConsPlusNormal"/>
              <w:jc w:val="both"/>
            </w:pPr>
            <w:r>
              <w:t>Участники (по согласованию):</w:t>
            </w:r>
          </w:p>
          <w:p w:rsidR="003A7F55" w:rsidRDefault="003A7F55">
            <w:pPr>
              <w:pStyle w:val="ConsPlusNormal"/>
              <w:jc w:val="both"/>
            </w:pPr>
            <w:r>
              <w:t>- Главное управление МЧС России по Хабаровскому краю (далее - ГУ МЧС России);</w:t>
            </w:r>
          </w:p>
          <w:p w:rsidR="003A7F55" w:rsidRDefault="003A7F55">
            <w:pPr>
              <w:pStyle w:val="ConsPlusNormal"/>
              <w:jc w:val="both"/>
            </w:pPr>
            <w:r>
              <w:t>- Управление Министерства внутренних дел России по городу Комсомольску-на-Амуре (далее - УМВД России);</w:t>
            </w:r>
          </w:p>
          <w:p w:rsidR="003A7F55" w:rsidRDefault="003A7F55">
            <w:pPr>
              <w:pStyle w:val="ConsPlusNormal"/>
              <w:jc w:val="both"/>
            </w:pPr>
            <w:r>
              <w:t>- Управление Федеральной службы безопасности по Хабаровскому краю в городе Комсомольске-на-Амуре (далее - УФСБ России).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Цели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Создание благоприятной и безопасной среды проживания на территории муниципального образования городского округа "Город Комсомольск-на-Амуре".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Задачи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1. Создание и внедрение аппаратно-программного комплекса "Безопасный город" (далее - АПК "Безопасный город") во все сферы жизнедеятельности муниципального образования.</w:t>
            </w:r>
          </w:p>
          <w:p w:rsidR="003A7F55" w:rsidRDefault="003A7F55">
            <w:pPr>
              <w:pStyle w:val="ConsPlusNormal"/>
              <w:jc w:val="both"/>
            </w:pPr>
            <w:r>
              <w:t>2. Формирование эффективной многоуровневой системы мониторинга и предупреждения возможных угроз чрезвычайных ситуаций, правонарушений и явлений террористической, экстремистской деятельности.</w:t>
            </w:r>
          </w:p>
          <w:p w:rsidR="003A7F55" w:rsidRDefault="003A7F55">
            <w:pPr>
              <w:pStyle w:val="ConsPlusNormal"/>
              <w:jc w:val="both"/>
            </w:pPr>
            <w:r>
              <w:t>3. Обеспечение информационного обмена на различных уровнях через единое информационное пространство с учетом разграничения прав доступа к информации разного характера.</w:t>
            </w:r>
          </w:p>
          <w:p w:rsidR="003A7F55" w:rsidRDefault="003A7F55">
            <w:pPr>
              <w:pStyle w:val="ConsPlusNormal"/>
              <w:jc w:val="both"/>
            </w:pPr>
            <w:r>
              <w:t>4. Усиление антитеррористической и экстремистской защищенности мест и объектов на территории города.</w:t>
            </w:r>
          </w:p>
          <w:p w:rsidR="003A7F55" w:rsidRDefault="003A7F55">
            <w:pPr>
              <w:pStyle w:val="ConsPlusNormal"/>
              <w:jc w:val="both"/>
            </w:pPr>
            <w:r>
              <w:t>5. Поддержание работоспособности и развитие аппаратно-технических средств обеспечения безопасности граждан.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Подпрограммы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В рамках Программы реализация подпрограмм не предусмотрена.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1. Создание, оборудование и усовершенствование систем обеспечения безопасности объектов городской инфраструктуры, мест с массовым пребыванием людей, площадей, улиц, перекрестков и прочих;</w:t>
            </w:r>
          </w:p>
          <w:p w:rsidR="003A7F55" w:rsidRDefault="003A7F55">
            <w:pPr>
              <w:pStyle w:val="ConsPlusNormal"/>
              <w:jc w:val="both"/>
            </w:pPr>
            <w:r>
              <w:t>2. Создание, оборудование, усовершенствование систем обеспечения безопасности объектов муниципальной инфраструктуры, образовательных учреждений и прочих;</w:t>
            </w:r>
          </w:p>
          <w:p w:rsidR="003A7F55" w:rsidRDefault="003A7F55">
            <w:pPr>
              <w:pStyle w:val="ConsPlusNormal"/>
              <w:jc w:val="both"/>
            </w:pPr>
            <w:r>
              <w:t>3. Оборудование, усовершенствование аппаратно-технических и программных средств ситуационного центра, организованного на базе единой дежурно-диспетчерской службы города (далее - ЕДДС);</w:t>
            </w:r>
          </w:p>
          <w:p w:rsidR="003A7F55" w:rsidRDefault="003A7F55">
            <w:pPr>
              <w:pStyle w:val="ConsPlusNormal"/>
              <w:jc w:val="both"/>
            </w:pPr>
            <w:r>
              <w:t>4. Оборудование и усовершенствование аппаратно-технических и программных средств, муниципального центра обработки данных;</w:t>
            </w:r>
          </w:p>
          <w:p w:rsidR="003A7F55" w:rsidRDefault="003A7F55">
            <w:pPr>
              <w:pStyle w:val="ConsPlusNormal"/>
              <w:jc w:val="both"/>
            </w:pPr>
            <w:r>
              <w:t>5. Содержание и инженерно-техническое обслуживание, ремонт и замена неисправных компонентов систем и сегментов АПК "Безопасный город".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Основные показатели (индикаторы)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1. Количество раскрытых преступлений, совершенных в общественных местах города, на территории которых установлен правоохранительный сегмент АПК "Безопасный город";</w:t>
            </w:r>
          </w:p>
          <w:p w:rsidR="003A7F55" w:rsidRDefault="003A7F55">
            <w:pPr>
              <w:pStyle w:val="ConsPlusNormal"/>
              <w:jc w:val="both"/>
            </w:pPr>
            <w:r>
              <w:t>2. Количество созданных, оборудованных и усовершенствованных систем обеспечения безопасности на объектах городской инфраструктуры, мест с массовым пребыванием людей, площадей, улиц, перекрестков и прочих;</w:t>
            </w:r>
          </w:p>
          <w:p w:rsidR="003A7F55" w:rsidRDefault="003A7F55">
            <w:pPr>
              <w:pStyle w:val="ConsPlusNormal"/>
              <w:jc w:val="both"/>
            </w:pPr>
            <w:r>
              <w:lastRenderedPageBreak/>
              <w:t>3. Количество созданных, оборудованных и усовершенствованных систем обеспечения безопасности объектов муниципальной инфраструктуры, образовательных учреждений и прочих;</w:t>
            </w:r>
          </w:p>
          <w:p w:rsidR="003A7F55" w:rsidRDefault="003A7F55">
            <w:pPr>
              <w:pStyle w:val="ConsPlusNormal"/>
              <w:jc w:val="both"/>
            </w:pPr>
            <w:r>
              <w:t>4. Количество оборудованных, усовершенствованных аппаратно-технических и программных сре</w:t>
            </w:r>
            <w:proofErr w:type="gramStart"/>
            <w:r>
              <w:t>дств в с</w:t>
            </w:r>
            <w:proofErr w:type="gramEnd"/>
            <w:r>
              <w:t>итуационном центре, организованном на базе ЕДДС;</w:t>
            </w:r>
          </w:p>
          <w:p w:rsidR="003A7F55" w:rsidRDefault="003A7F55">
            <w:pPr>
              <w:pStyle w:val="ConsPlusNormal"/>
              <w:jc w:val="both"/>
            </w:pPr>
            <w:r>
              <w:t>5. Количество оборудованных и усовершенствованных аппаратно-технических и программных средств муниципального центра обработки данных.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186" w:type="dxa"/>
          </w:tcPr>
          <w:p w:rsidR="003A7F55" w:rsidRDefault="003A7F55" w:rsidP="00DF4337">
            <w:pPr>
              <w:pStyle w:val="ConsPlusNormal"/>
              <w:jc w:val="both"/>
            </w:pPr>
            <w:r>
              <w:t>Программа реализуется в один этап с 2017 года по 202</w:t>
            </w:r>
            <w:r w:rsidR="00DF4337">
              <w:t>1</w:t>
            </w:r>
            <w:r>
              <w:t xml:space="preserve"> год.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Ресурсное обеспечение реализации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 xml:space="preserve">Общий объем финансирования мероприятий Программы составляет 9 </w:t>
            </w:r>
            <w:r w:rsidR="00DF4337">
              <w:t>63</w:t>
            </w:r>
            <w:r>
              <w:t>2,30 тыс. руб., в том числе:</w:t>
            </w:r>
          </w:p>
          <w:p w:rsidR="003A7F55" w:rsidRDefault="003A7F55">
            <w:pPr>
              <w:pStyle w:val="ConsPlusNormal"/>
              <w:jc w:val="both"/>
            </w:pPr>
            <w:r>
              <w:t>2017 год - 5 806,00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2018 год - 3 646,30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2019 год - 60,00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2020 год - 60,00 тыс. руб.</w:t>
            </w:r>
            <w:r w:rsidR="00DF4337">
              <w:t>;</w:t>
            </w:r>
          </w:p>
          <w:p w:rsidR="00DF4337" w:rsidRDefault="00DF4337">
            <w:pPr>
              <w:pStyle w:val="ConsPlusNormal"/>
              <w:jc w:val="both"/>
            </w:pPr>
            <w:r>
              <w:t xml:space="preserve">2021 год </w:t>
            </w:r>
            <w:r w:rsidR="00183C56">
              <w:t>–</w:t>
            </w:r>
            <w:r>
              <w:t xml:space="preserve"> </w:t>
            </w:r>
            <w:r w:rsidR="00183C56">
              <w:t>60,00 тыс. руб.</w:t>
            </w:r>
          </w:p>
          <w:p w:rsidR="003A7F55" w:rsidRDefault="003A7F55">
            <w:pPr>
              <w:pStyle w:val="ConsPlusNormal"/>
              <w:jc w:val="both"/>
            </w:pPr>
            <w:r>
              <w:t>Из них:</w:t>
            </w:r>
          </w:p>
          <w:p w:rsidR="003A7F55" w:rsidRDefault="003A7F55">
            <w:pPr>
              <w:pStyle w:val="ConsPlusNormal"/>
              <w:jc w:val="both"/>
            </w:pPr>
            <w:r>
              <w:t xml:space="preserve">Местный бюджет - 3 </w:t>
            </w:r>
            <w:r w:rsidR="00DF4337">
              <w:t>637</w:t>
            </w:r>
            <w:r>
              <w:t>,00 тыс. руб., в том числе:</w:t>
            </w:r>
          </w:p>
          <w:p w:rsidR="003A7F55" w:rsidRDefault="003A7F55">
            <w:pPr>
              <w:pStyle w:val="ConsPlusNormal"/>
              <w:jc w:val="both"/>
            </w:pPr>
            <w:r>
              <w:t>2017 год - 2 232,00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2018 год - 1 225,00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2019 год - 60,00 тыс. руб.;</w:t>
            </w:r>
          </w:p>
          <w:p w:rsidR="003A7F55" w:rsidRDefault="003A7F55">
            <w:pPr>
              <w:pStyle w:val="ConsPlusNormal"/>
              <w:jc w:val="both"/>
            </w:pPr>
            <w:r>
              <w:t>2020 год - 60,00 тыс. руб.</w:t>
            </w:r>
            <w:r w:rsidR="00DF4337">
              <w:t>;</w:t>
            </w:r>
          </w:p>
          <w:p w:rsidR="00DF4337" w:rsidRDefault="00DF4337">
            <w:pPr>
              <w:pStyle w:val="ConsPlusNormal"/>
              <w:jc w:val="both"/>
            </w:pPr>
            <w:r>
              <w:t>2021 год – 60,00 тыс. руб.</w:t>
            </w:r>
          </w:p>
          <w:p w:rsidR="003A7F55" w:rsidRDefault="003A7F55">
            <w:pPr>
              <w:pStyle w:val="ConsPlusNormal"/>
              <w:jc w:val="both"/>
            </w:pPr>
            <w:r>
              <w:t>Краевой бюджет (</w:t>
            </w:r>
            <w:proofErr w:type="spellStart"/>
            <w:r>
              <w:t>прогнозно</w:t>
            </w:r>
            <w:proofErr w:type="spellEnd"/>
            <w:r>
              <w:t>) - 5 995,30 тыс. руб., в том числе:</w:t>
            </w:r>
          </w:p>
          <w:p w:rsidR="003A7F55" w:rsidRDefault="003A7F55">
            <w:pPr>
              <w:pStyle w:val="ConsPlusNormal"/>
              <w:jc w:val="both"/>
            </w:pPr>
            <w:r>
              <w:t>2017 год - 3 574,00 тыс. рублей;</w:t>
            </w:r>
          </w:p>
          <w:p w:rsidR="003A7F55" w:rsidRDefault="003A7F55">
            <w:pPr>
              <w:pStyle w:val="ConsPlusNormal"/>
              <w:jc w:val="both"/>
            </w:pPr>
            <w:r>
              <w:t>2018 год - 2 421,30 тыс. рублей;</w:t>
            </w:r>
          </w:p>
          <w:p w:rsidR="003A7F55" w:rsidRDefault="003A7F55">
            <w:pPr>
              <w:pStyle w:val="ConsPlusNormal"/>
              <w:jc w:val="both"/>
            </w:pPr>
            <w:r>
              <w:t>2019 год - 0,00 тыс. рублей;</w:t>
            </w:r>
          </w:p>
          <w:p w:rsidR="003A7F55" w:rsidRDefault="00DF4337">
            <w:pPr>
              <w:pStyle w:val="ConsPlusNormal"/>
              <w:jc w:val="both"/>
            </w:pPr>
            <w:r>
              <w:t>2020 год - 0,00 тыс. рублей;</w:t>
            </w:r>
          </w:p>
          <w:p w:rsidR="00DF4337" w:rsidRDefault="00DF4337">
            <w:pPr>
              <w:pStyle w:val="ConsPlusNormal"/>
              <w:jc w:val="both"/>
            </w:pPr>
            <w:r>
              <w:t>2021 год – 0,00 тыс. рублей.</w:t>
            </w:r>
          </w:p>
        </w:tc>
      </w:tr>
      <w:tr w:rsidR="003A7F55" w:rsidTr="00DF4337">
        <w:tc>
          <w:tcPr>
            <w:tcW w:w="1871" w:type="dxa"/>
          </w:tcPr>
          <w:p w:rsidR="003A7F55" w:rsidRDefault="003A7F55">
            <w:pPr>
              <w:pStyle w:val="ConsPlusNormal"/>
            </w:pPr>
            <w:r>
              <w:t>Конечный результат реализации муниципальной Программы</w:t>
            </w:r>
          </w:p>
        </w:tc>
        <w:tc>
          <w:tcPr>
            <w:tcW w:w="9186" w:type="dxa"/>
          </w:tcPr>
          <w:p w:rsidR="003A7F55" w:rsidRDefault="003A7F55">
            <w:pPr>
              <w:pStyle w:val="ConsPlusNormal"/>
              <w:jc w:val="both"/>
            </w:pPr>
            <w:r>
              <w:t>1. Увеличение количества раскрытых преступлений, совершенных в общественных местах города, на территории которых установлен правоохранительный сегмент АПК "Безопасный город", не менее чем на одну единицу по отношению к уровню прошлого года;</w:t>
            </w:r>
          </w:p>
          <w:p w:rsidR="003A7F55" w:rsidRDefault="003A7F55">
            <w:pPr>
              <w:pStyle w:val="ConsPlusNormal"/>
              <w:jc w:val="both"/>
            </w:pPr>
            <w:r>
              <w:t xml:space="preserve">2. Создание, оборудование и усовершенствование систем обеспечения безопасности объектов городской инфраструктуры, мест с массовым пребыванием людей, площадей, улиц, перекрестков и прочих в количестве </w:t>
            </w:r>
            <w:r w:rsidR="00183C56">
              <w:t>7</w:t>
            </w:r>
            <w:r>
              <w:t xml:space="preserve"> единиц;</w:t>
            </w:r>
          </w:p>
          <w:p w:rsidR="003A7F55" w:rsidRDefault="003A7F55">
            <w:pPr>
              <w:pStyle w:val="ConsPlusNormal"/>
              <w:jc w:val="both"/>
            </w:pPr>
            <w:r>
              <w:t xml:space="preserve">3. Создание, оборудование, усовершенствование систем обеспечения безопасности объектов муниципальной инфраструктуры, образовательных учреждений и прочих в количестве </w:t>
            </w:r>
            <w:r w:rsidR="00183C56">
              <w:t>44</w:t>
            </w:r>
            <w:r>
              <w:t xml:space="preserve"> единиц;</w:t>
            </w:r>
          </w:p>
          <w:p w:rsidR="003A7F55" w:rsidRDefault="003A7F55">
            <w:pPr>
              <w:pStyle w:val="ConsPlusNormal"/>
              <w:jc w:val="both"/>
            </w:pPr>
            <w:r>
              <w:t>4. Оборудование, усовершенствование аппаратно-технических и программных сре</w:t>
            </w:r>
            <w:proofErr w:type="gramStart"/>
            <w:r>
              <w:t>дств в с</w:t>
            </w:r>
            <w:proofErr w:type="gramEnd"/>
            <w:r>
              <w:t>итуационном центре, организованном на базе ЕДДС, в количестве 4 единиц;</w:t>
            </w:r>
          </w:p>
          <w:p w:rsidR="003A7F55" w:rsidRDefault="003A7F55">
            <w:pPr>
              <w:pStyle w:val="ConsPlusNormal"/>
              <w:jc w:val="both"/>
            </w:pPr>
            <w:r>
              <w:t>5. Оборудование и усовершенствование аппаратно-технических и программных средств муниципального центра обработки данных в количестве 2 единиц.</w:t>
            </w:r>
          </w:p>
        </w:tc>
      </w:tr>
    </w:tbl>
    <w:p w:rsidR="003A7F55" w:rsidRDefault="003A7F55">
      <w:pPr>
        <w:pStyle w:val="ConsPlusNormal"/>
        <w:jc w:val="both"/>
      </w:pPr>
    </w:p>
    <w:sectPr w:rsidR="003A7F55" w:rsidSect="00DF433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55"/>
    <w:rsid w:val="00183C56"/>
    <w:rsid w:val="003A7F55"/>
    <w:rsid w:val="00BE6DB8"/>
    <w:rsid w:val="00DF4337"/>
    <w:rsid w:val="00E3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7F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2018-10-25T03:48:00Z</dcterms:created>
  <dcterms:modified xsi:type="dcterms:W3CDTF">2018-10-25T03:48:00Z</dcterms:modified>
</cp:coreProperties>
</file>